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7B" w:rsidRDefault="00C43D7B">
      <w:pPr>
        <w:pStyle w:val="Standard"/>
        <w:jc w:val="both"/>
        <w:rPr>
          <w:b/>
          <w:bCs/>
          <w:sz w:val="30"/>
          <w:szCs w:val="30"/>
        </w:rPr>
      </w:pPr>
    </w:p>
    <w:p w:rsidR="00C43D7B" w:rsidRDefault="00C43D7B">
      <w:pPr>
        <w:pStyle w:val="Standard"/>
        <w:jc w:val="both"/>
        <w:rPr>
          <w:b/>
          <w:bCs/>
          <w:sz w:val="30"/>
          <w:szCs w:val="30"/>
        </w:rPr>
      </w:pPr>
    </w:p>
    <w:p w:rsidR="00C43D7B" w:rsidRDefault="00C43D7B">
      <w:pPr>
        <w:pStyle w:val="Standard"/>
        <w:jc w:val="both"/>
        <w:rPr>
          <w:b/>
          <w:bCs/>
          <w:sz w:val="30"/>
          <w:szCs w:val="30"/>
        </w:rPr>
      </w:pPr>
    </w:p>
    <w:p w:rsidR="00C43D7B" w:rsidRDefault="004F45EF">
      <w:pPr>
        <w:pStyle w:val="Standard"/>
        <w:jc w:val="both"/>
        <w:rPr>
          <w:b/>
          <w:bCs/>
          <w:sz w:val="30"/>
          <w:szCs w:val="30"/>
        </w:rPr>
      </w:pPr>
      <w:r>
        <w:rPr>
          <w:b/>
          <w:bCs/>
          <w:sz w:val="30"/>
          <w:szCs w:val="30"/>
        </w:rPr>
        <w:t>Bozza di nota sull'avviso pubblico del Comune di Modena attuativo                                                                   dell'art. 4 della legge regionale 24/17</w:t>
      </w:r>
    </w:p>
    <w:p w:rsidR="00C43D7B" w:rsidRDefault="00C43D7B">
      <w:pPr>
        <w:pStyle w:val="Standard"/>
        <w:jc w:val="both"/>
        <w:rPr>
          <w:b/>
          <w:bCs/>
          <w:sz w:val="30"/>
          <w:szCs w:val="30"/>
        </w:rPr>
      </w:pPr>
    </w:p>
    <w:p w:rsidR="00C43D7B" w:rsidRDefault="00C43D7B">
      <w:pPr>
        <w:pStyle w:val="Standard"/>
        <w:jc w:val="both"/>
        <w:rPr>
          <w:b/>
          <w:bCs/>
          <w:sz w:val="24"/>
        </w:rPr>
      </w:pP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 xml:space="preserve">Il </w:t>
      </w:r>
      <w:r>
        <w:rPr>
          <w:b/>
          <w:bCs/>
          <w:i/>
          <w:iCs/>
          <w:sz w:val="24"/>
        </w:rPr>
        <w:t>Comitato Unitario delle Professioni della provincia di Modena, dopo aver partecipato alla riunione proposta dal Sindaco di Modena lo scorso 20 giugno, avendo ricevuto in quella sede una parte del materiale che sarà sottoposto all'esame del Consiglio Comuna</w:t>
      </w:r>
      <w:r>
        <w:rPr>
          <w:b/>
          <w:bCs/>
          <w:i/>
          <w:iCs/>
          <w:sz w:val="24"/>
        </w:rPr>
        <w:t>le giovedì 28 p.v. e relativo alla emissione di un avviso pubblico in attuazione della cd</w:t>
      </w:r>
      <w:r w:rsidR="004A246A">
        <w:rPr>
          <w:b/>
          <w:bCs/>
          <w:i/>
          <w:iCs/>
          <w:sz w:val="24"/>
        </w:rPr>
        <w:t>.</w:t>
      </w:r>
      <w:r>
        <w:rPr>
          <w:b/>
          <w:bCs/>
          <w:i/>
          <w:iCs/>
          <w:sz w:val="24"/>
        </w:rPr>
        <w:t xml:space="preserve"> “fase transitoria”</w:t>
      </w:r>
      <w:r w:rsidR="004A246A">
        <w:rPr>
          <w:b/>
          <w:bCs/>
          <w:i/>
          <w:iCs/>
          <w:sz w:val="24"/>
        </w:rPr>
        <w:t xml:space="preserve"> </w:t>
      </w:r>
      <w:r>
        <w:rPr>
          <w:b/>
          <w:bCs/>
          <w:i/>
          <w:iCs/>
          <w:sz w:val="24"/>
        </w:rPr>
        <w:t xml:space="preserve">di cui all'art. 4) della </w:t>
      </w:r>
      <w:proofErr w:type="spellStart"/>
      <w:r>
        <w:rPr>
          <w:b/>
          <w:bCs/>
          <w:i/>
          <w:iCs/>
          <w:sz w:val="24"/>
        </w:rPr>
        <w:t>l.r</w:t>
      </w:r>
      <w:proofErr w:type="spellEnd"/>
      <w:r>
        <w:rPr>
          <w:b/>
          <w:bCs/>
          <w:i/>
          <w:iCs/>
          <w:sz w:val="24"/>
        </w:rPr>
        <w:t>. 24/'17, sottopone alla Amministrazione Comunale le seguenti considerazioni, nello spirito di contribuire al migliore e</w:t>
      </w:r>
      <w:r>
        <w:rPr>
          <w:b/>
          <w:bCs/>
          <w:i/>
          <w:iCs/>
          <w:sz w:val="24"/>
        </w:rPr>
        <w:t>sito della complessa procedura.</w:t>
      </w:r>
    </w:p>
    <w:p w:rsidR="00C43D7B" w:rsidRDefault="00C43D7B">
      <w:pPr>
        <w:pStyle w:val="Standard"/>
        <w:jc w:val="both"/>
        <w:rPr>
          <w:b/>
          <w:bCs/>
          <w:i/>
          <w:iCs/>
          <w:sz w:val="24"/>
        </w:rPr>
      </w:pP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 xml:space="preserve">La perplessità principale nasce dalla decisione di ammettere alla procedura solo le aree contenute in un elenco puntuale costruito sulla base di una </w:t>
      </w:r>
      <w:r w:rsidR="004A246A">
        <w:rPr>
          <w:b/>
          <w:bCs/>
          <w:i/>
          <w:iCs/>
          <w:sz w:val="24"/>
        </w:rPr>
        <w:t>“R</w:t>
      </w:r>
      <w:r>
        <w:rPr>
          <w:b/>
          <w:bCs/>
          <w:i/>
          <w:iCs/>
          <w:sz w:val="24"/>
        </w:rPr>
        <w:t>icognizione</w:t>
      </w:r>
      <w:r w:rsidR="004A246A">
        <w:rPr>
          <w:b/>
          <w:bCs/>
          <w:i/>
          <w:iCs/>
          <w:sz w:val="24"/>
        </w:rPr>
        <w:t>”</w:t>
      </w:r>
      <w:r>
        <w:rPr>
          <w:b/>
          <w:bCs/>
          <w:i/>
          <w:iCs/>
          <w:sz w:val="24"/>
        </w:rPr>
        <w:t xml:space="preserve"> condotta dagli Uffici Tecnici sullo stato di attuazione dell</w:t>
      </w:r>
      <w:r>
        <w:rPr>
          <w:b/>
          <w:bCs/>
          <w:i/>
          <w:iCs/>
          <w:sz w:val="24"/>
        </w:rPr>
        <w:t xml:space="preserve">o strumento urbanistico vigente, con </w:t>
      </w:r>
      <w:r>
        <w:rPr>
          <w:b/>
          <w:bCs/>
          <w:i/>
          <w:iCs/>
          <w:sz w:val="24"/>
        </w:rPr>
        <w:t>preclusione anche solo dell'esame delle proposte eventualmente presentate al di fuori dell'elenco stesso.</w:t>
      </w: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Le aree potenzialmente interessate alla procedura</w:t>
      </w:r>
      <w:r w:rsidR="004A246A">
        <w:rPr>
          <w:b/>
          <w:bCs/>
          <w:i/>
          <w:iCs/>
          <w:sz w:val="24"/>
        </w:rPr>
        <w:t>,</w:t>
      </w:r>
      <w:r>
        <w:rPr>
          <w:b/>
          <w:bCs/>
          <w:i/>
          <w:iCs/>
          <w:sz w:val="24"/>
        </w:rPr>
        <w:t xml:space="preserve"> corrispondenti a previsioni non attuate del P.R.G.</w:t>
      </w:r>
      <w:r w:rsidR="004A246A">
        <w:rPr>
          <w:b/>
          <w:bCs/>
          <w:i/>
          <w:iCs/>
          <w:sz w:val="24"/>
        </w:rPr>
        <w:t>,</w:t>
      </w:r>
      <w:r>
        <w:rPr>
          <w:b/>
          <w:bCs/>
          <w:i/>
          <w:iCs/>
          <w:sz w:val="24"/>
        </w:rPr>
        <w:t xml:space="preserve"> sono numerose, e  presentano “storie urbanistiche” a volte lunghe, complesse ed anche controverse</w:t>
      </w:r>
      <w:r w:rsidR="004A246A">
        <w:rPr>
          <w:b/>
          <w:bCs/>
          <w:i/>
          <w:iCs/>
          <w:sz w:val="24"/>
        </w:rPr>
        <w:t>.</w:t>
      </w:r>
      <w:r>
        <w:rPr>
          <w:b/>
          <w:bCs/>
          <w:i/>
          <w:iCs/>
          <w:sz w:val="24"/>
        </w:rPr>
        <w:t xml:space="preserve"> </w:t>
      </w:r>
      <w:r w:rsidR="004A246A">
        <w:rPr>
          <w:b/>
          <w:bCs/>
          <w:i/>
          <w:iCs/>
          <w:sz w:val="24"/>
        </w:rPr>
        <w:t>I</w:t>
      </w:r>
      <w:r>
        <w:rPr>
          <w:b/>
          <w:bCs/>
          <w:i/>
          <w:iCs/>
          <w:sz w:val="24"/>
        </w:rPr>
        <w:t>n questa situazione la possibilità di errori o dimenticanze non è marginale, e metterebbe a rischio la sostenibilità giuridica della procedura stessa.</w:t>
      </w: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 xml:space="preserve">I </w:t>
      </w:r>
      <w:r>
        <w:rPr>
          <w:b/>
          <w:bCs/>
          <w:i/>
          <w:iCs/>
          <w:sz w:val="24"/>
        </w:rPr>
        <w:t xml:space="preserve">principi cui si ispira la nuova legge, anche sotto questo profilo, sono peraltro talmente generali da ammettere diverse possibilità interpretative, sotto il profilo giuridico, proprio sulla </w:t>
      </w:r>
      <w:proofErr w:type="spellStart"/>
      <w:r>
        <w:rPr>
          <w:b/>
          <w:bCs/>
          <w:i/>
          <w:iCs/>
          <w:sz w:val="24"/>
        </w:rPr>
        <w:t>candidabilità</w:t>
      </w:r>
      <w:proofErr w:type="spellEnd"/>
      <w:r>
        <w:rPr>
          <w:b/>
          <w:bCs/>
          <w:i/>
          <w:iCs/>
          <w:sz w:val="24"/>
        </w:rPr>
        <w:t xml:space="preserve"> delle singole posizioni maturate nel tempo.</w:t>
      </w: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 xml:space="preserve">Questa </w:t>
      </w:r>
      <w:r>
        <w:rPr>
          <w:b/>
          <w:bCs/>
          <w:i/>
          <w:iCs/>
          <w:sz w:val="24"/>
        </w:rPr>
        <w:t>procedura “ristretta” pare anche in contrasto con lo spirito della stessa legge regionale</w:t>
      </w:r>
      <w:r w:rsidR="004A246A">
        <w:rPr>
          <w:b/>
          <w:bCs/>
          <w:i/>
          <w:iCs/>
          <w:sz w:val="24"/>
        </w:rPr>
        <w:t>: la</w:t>
      </w:r>
      <w:r>
        <w:rPr>
          <w:b/>
          <w:bCs/>
          <w:i/>
          <w:iCs/>
          <w:sz w:val="24"/>
        </w:rPr>
        <w:t xml:space="preserve"> selezione delle situazioni</w:t>
      </w:r>
      <w:r w:rsidR="00A55391">
        <w:rPr>
          <w:b/>
          <w:bCs/>
          <w:i/>
          <w:iCs/>
          <w:sz w:val="24"/>
        </w:rPr>
        <w:t>, infatti,</w:t>
      </w:r>
      <w:r>
        <w:rPr>
          <w:b/>
          <w:bCs/>
          <w:i/>
          <w:iCs/>
          <w:sz w:val="24"/>
        </w:rPr>
        <w:t xml:space="preserve"> </w:t>
      </w:r>
      <w:r w:rsidR="004A246A">
        <w:rPr>
          <w:b/>
          <w:bCs/>
          <w:i/>
          <w:iCs/>
          <w:sz w:val="24"/>
        </w:rPr>
        <w:t xml:space="preserve">dovrebbe avvenire sulla base di segnalazioni effettuate </w:t>
      </w:r>
      <w:r>
        <w:rPr>
          <w:b/>
          <w:bCs/>
          <w:i/>
          <w:iCs/>
          <w:sz w:val="24"/>
        </w:rPr>
        <w:t xml:space="preserve">dalle proprietà e ritenute meritevoli di attuazione agevolata attraverso il nuovo strumento dell'Accordo </w:t>
      </w:r>
      <w:r>
        <w:rPr>
          <w:b/>
          <w:bCs/>
          <w:i/>
          <w:iCs/>
          <w:sz w:val="24"/>
        </w:rPr>
        <w:t xml:space="preserve">Operativo, non già </w:t>
      </w:r>
      <w:r w:rsidR="004A246A">
        <w:rPr>
          <w:b/>
          <w:bCs/>
          <w:i/>
          <w:iCs/>
          <w:sz w:val="24"/>
        </w:rPr>
        <w:t>nell’ambito di</w:t>
      </w:r>
      <w:r>
        <w:rPr>
          <w:b/>
          <w:bCs/>
          <w:i/>
          <w:iCs/>
          <w:sz w:val="24"/>
        </w:rPr>
        <w:t xml:space="preserve"> </w:t>
      </w:r>
      <w:r>
        <w:rPr>
          <w:b/>
          <w:bCs/>
          <w:i/>
          <w:iCs/>
          <w:sz w:val="24"/>
        </w:rPr>
        <w:t>un contesto preventivamente blindato.</w:t>
      </w: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 xml:space="preserve">Forse </w:t>
      </w:r>
      <w:r w:rsidR="00A55391">
        <w:rPr>
          <w:b/>
          <w:bCs/>
          <w:i/>
          <w:iCs/>
          <w:sz w:val="24"/>
        </w:rPr>
        <w:t>la</w:t>
      </w:r>
      <w:r>
        <w:rPr>
          <w:b/>
          <w:bCs/>
          <w:i/>
          <w:iCs/>
          <w:sz w:val="24"/>
        </w:rPr>
        <w:t xml:space="preserve"> </w:t>
      </w:r>
      <w:r w:rsidR="004A246A">
        <w:rPr>
          <w:b/>
          <w:bCs/>
          <w:i/>
          <w:iCs/>
          <w:sz w:val="24"/>
        </w:rPr>
        <w:t>riqualificazione</w:t>
      </w:r>
      <w:r>
        <w:rPr>
          <w:b/>
          <w:bCs/>
          <w:i/>
          <w:iCs/>
          <w:sz w:val="24"/>
        </w:rPr>
        <w:t xml:space="preserve"> della “Ricognizione” </w:t>
      </w:r>
      <w:r w:rsidR="004A246A">
        <w:rPr>
          <w:b/>
          <w:bCs/>
          <w:i/>
          <w:iCs/>
          <w:sz w:val="24"/>
        </w:rPr>
        <w:t xml:space="preserve">da elenco chiuso </w:t>
      </w:r>
      <w:r>
        <w:rPr>
          <w:b/>
          <w:bCs/>
          <w:i/>
          <w:iCs/>
          <w:sz w:val="24"/>
        </w:rPr>
        <w:t xml:space="preserve">ad elemento </w:t>
      </w:r>
      <w:r w:rsidR="004A246A">
        <w:rPr>
          <w:b/>
          <w:bCs/>
          <w:i/>
          <w:iCs/>
          <w:sz w:val="24"/>
        </w:rPr>
        <w:t xml:space="preserve">informativo e </w:t>
      </w:r>
      <w:r>
        <w:rPr>
          <w:b/>
          <w:bCs/>
          <w:i/>
          <w:iCs/>
          <w:sz w:val="24"/>
        </w:rPr>
        <w:t>di indirizzo (</w:t>
      </w:r>
      <w:r>
        <w:rPr>
          <w:b/>
          <w:bCs/>
          <w:i/>
          <w:iCs/>
          <w:sz w:val="24"/>
        </w:rPr>
        <w:t xml:space="preserve">od eventualmente </w:t>
      </w:r>
      <w:r>
        <w:rPr>
          <w:b/>
          <w:bCs/>
          <w:i/>
          <w:iCs/>
          <w:sz w:val="24"/>
        </w:rPr>
        <w:t>di priorità</w:t>
      </w:r>
      <w:r>
        <w:rPr>
          <w:b/>
          <w:bCs/>
          <w:i/>
          <w:iCs/>
          <w:sz w:val="24"/>
        </w:rPr>
        <w:t>)</w:t>
      </w:r>
      <w:r w:rsidR="004A246A">
        <w:rPr>
          <w:b/>
          <w:bCs/>
          <w:i/>
          <w:iCs/>
          <w:sz w:val="24"/>
        </w:rPr>
        <w:t xml:space="preserve"> e </w:t>
      </w:r>
      <w:r>
        <w:rPr>
          <w:b/>
          <w:bCs/>
          <w:i/>
          <w:iCs/>
          <w:sz w:val="24"/>
        </w:rPr>
        <w:t xml:space="preserve">senza preclusione di  ulteriori candidature </w:t>
      </w:r>
      <w:r w:rsidR="004A246A">
        <w:rPr>
          <w:b/>
          <w:bCs/>
          <w:i/>
          <w:iCs/>
          <w:sz w:val="24"/>
        </w:rPr>
        <w:t xml:space="preserve">potrebbe ridurre </w:t>
      </w:r>
      <w:r>
        <w:rPr>
          <w:b/>
          <w:bCs/>
          <w:i/>
          <w:iCs/>
          <w:sz w:val="24"/>
        </w:rPr>
        <w:t xml:space="preserve">i rischi </w:t>
      </w:r>
      <w:r w:rsidR="00A55391">
        <w:rPr>
          <w:b/>
          <w:bCs/>
          <w:i/>
          <w:iCs/>
          <w:sz w:val="24"/>
        </w:rPr>
        <w:t>connessi a questa scelta, lasciando im</w:t>
      </w:r>
      <w:r>
        <w:rPr>
          <w:b/>
          <w:bCs/>
          <w:i/>
          <w:iCs/>
          <w:sz w:val="24"/>
        </w:rPr>
        <w:t>pregiudica</w:t>
      </w:r>
      <w:r w:rsidR="00A55391">
        <w:rPr>
          <w:b/>
          <w:bCs/>
          <w:i/>
          <w:iCs/>
          <w:sz w:val="24"/>
        </w:rPr>
        <w:t xml:space="preserve">ta la </w:t>
      </w:r>
      <w:r>
        <w:rPr>
          <w:b/>
          <w:bCs/>
          <w:i/>
          <w:iCs/>
          <w:sz w:val="24"/>
        </w:rPr>
        <w:t>possibilità di successiva autonoma valutazione</w:t>
      </w:r>
      <w:r w:rsidR="00A55391">
        <w:rPr>
          <w:b/>
          <w:bCs/>
          <w:i/>
          <w:iCs/>
          <w:sz w:val="24"/>
        </w:rPr>
        <w:t xml:space="preserve"> da parte del Comune</w:t>
      </w:r>
      <w:r>
        <w:rPr>
          <w:b/>
          <w:bCs/>
          <w:i/>
          <w:iCs/>
          <w:sz w:val="24"/>
        </w:rPr>
        <w:t>.</w:t>
      </w:r>
    </w:p>
    <w:p w:rsidR="00C43D7B" w:rsidRDefault="00C43D7B">
      <w:pPr>
        <w:pStyle w:val="Standard"/>
        <w:jc w:val="both"/>
        <w:rPr>
          <w:b/>
          <w:bCs/>
          <w:i/>
          <w:iCs/>
          <w:sz w:val="24"/>
        </w:rPr>
      </w:pPr>
    </w:p>
    <w:p w:rsidR="00C43D7B" w:rsidRDefault="00C43D7B">
      <w:pPr>
        <w:pStyle w:val="Standard"/>
        <w:jc w:val="both"/>
        <w:rPr>
          <w:b/>
          <w:bCs/>
          <w:i/>
          <w:iCs/>
          <w:sz w:val="24"/>
        </w:rPr>
      </w:pP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 xml:space="preserve">Una seconda osservazione va fatta sulla decisione di escludere l'applicazione delle modalità perequative previste fin dalla sua formazione, dal Piano vigente; almeno </w:t>
      </w:r>
      <w:r>
        <w:rPr>
          <w:b/>
          <w:bCs/>
          <w:i/>
          <w:iCs/>
          <w:sz w:val="24"/>
        </w:rPr>
        <w:t xml:space="preserve">sotto il profilo teorico le procedure previste agli artt. 16.10 e 16.7bis del R.U.E., dal punto di vista del consumo di suolo, sarebbero più favorevoli rispetto alla </w:t>
      </w:r>
      <w:r>
        <w:rPr>
          <w:b/>
          <w:bCs/>
          <w:i/>
          <w:iCs/>
          <w:sz w:val="24"/>
        </w:rPr>
        <w:lastRenderedPageBreak/>
        <w:t>applicazione della normativa di base per le zone F) e G) in quan</w:t>
      </w:r>
      <w:r w:rsidR="00A55391">
        <w:rPr>
          <w:b/>
          <w:bCs/>
          <w:i/>
          <w:iCs/>
          <w:sz w:val="24"/>
        </w:rPr>
        <w:t>t</w:t>
      </w:r>
      <w:r>
        <w:rPr>
          <w:b/>
          <w:bCs/>
          <w:i/>
          <w:iCs/>
          <w:sz w:val="24"/>
        </w:rPr>
        <w:t>o restituirebbero alla pr</w:t>
      </w:r>
      <w:r>
        <w:rPr>
          <w:b/>
          <w:bCs/>
          <w:i/>
          <w:iCs/>
          <w:sz w:val="24"/>
        </w:rPr>
        <w:t>oprietà pubblica la porzione maggioritaria dei  terreni compresi nei comparti</w:t>
      </w:r>
      <w:r w:rsidR="00A55391">
        <w:rPr>
          <w:b/>
          <w:bCs/>
          <w:i/>
          <w:iCs/>
          <w:sz w:val="24"/>
        </w:rPr>
        <w:t>.</w:t>
      </w: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Soprattutto per le aree poste in zona G), costituite spesso da piccole porzioni di terreno centrali con destinazione a verde pubblico, la via della perequazione sembra ancora qu</w:t>
      </w:r>
      <w:r>
        <w:rPr>
          <w:b/>
          <w:bCs/>
          <w:i/>
          <w:iCs/>
          <w:sz w:val="24"/>
        </w:rPr>
        <w:t>ella più praticabile</w:t>
      </w:r>
      <w:r>
        <w:rPr>
          <w:b/>
          <w:bCs/>
          <w:i/>
          <w:iCs/>
          <w:sz w:val="24"/>
        </w:rPr>
        <w:t>, per i costi ed i tempi di acquisizione delle aree in caso di procedure espropriative.</w:t>
      </w:r>
    </w:p>
    <w:p w:rsidR="00C43D7B" w:rsidRDefault="00C43D7B">
      <w:pPr>
        <w:pStyle w:val="Standard"/>
        <w:jc w:val="both"/>
        <w:rPr>
          <w:b/>
          <w:bCs/>
          <w:i/>
          <w:iCs/>
          <w:sz w:val="24"/>
        </w:rPr>
      </w:pP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 xml:space="preserve">La terza questione riguarda l'impatto dell'avviso sulla fase </w:t>
      </w:r>
      <w:r w:rsidR="00911CAE">
        <w:rPr>
          <w:b/>
          <w:bCs/>
          <w:i/>
          <w:iCs/>
          <w:sz w:val="24"/>
        </w:rPr>
        <w:t xml:space="preserve">transitoria in vista </w:t>
      </w:r>
      <w:r>
        <w:rPr>
          <w:b/>
          <w:bCs/>
          <w:i/>
          <w:iCs/>
          <w:sz w:val="24"/>
        </w:rPr>
        <w:t>della formazione del nuovo strumento urbanistico, il P.U.G.</w:t>
      </w:r>
    </w:p>
    <w:p w:rsidR="00C43D7B" w:rsidRDefault="00C43D7B">
      <w:pPr>
        <w:pStyle w:val="Standard"/>
        <w:jc w:val="both"/>
        <w:rPr>
          <w:b/>
          <w:bCs/>
          <w:i/>
          <w:iCs/>
          <w:sz w:val="24"/>
        </w:rPr>
      </w:pPr>
    </w:p>
    <w:p w:rsidR="00C43D7B" w:rsidRDefault="00A55391">
      <w:pPr>
        <w:pStyle w:val="Standard"/>
        <w:jc w:val="both"/>
        <w:rPr>
          <w:b/>
          <w:bCs/>
          <w:i/>
          <w:iCs/>
          <w:sz w:val="24"/>
        </w:rPr>
      </w:pPr>
      <w:r>
        <w:rPr>
          <w:b/>
          <w:bCs/>
          <w:i/>
          <w:iCs/>
          <w:sz w:val="24"/>
        </w:rPr>
        <w:t xml:space="preserve">Il timore, desumibile </w:t>
      </w:r>
      <w:r w:rsidR="00911CAE">
        <w:rPr>
          <w:b/>
          <w:bCs/>
          <w:i/>
          <w:iCs/>
          <w:sz w:val="24"/>
        </w:rPr>
        <w:t>dallo spirito che pervade l'Avviso Pubblico</w:t>
      </w:r>
      <w:r w:rsidR="00911CAE">
        <w:rPr>
          <w:b/>
          <w:bCs/>
          <w:i/>
          <w:iCs/>
          <w:sz w:val="24"/>
        </w:rPr>
        <w:t xml:space="preserve"> e da alcune </w:t>
      </w:r>
      <w:r w:rsidR="004F45EF">
        <w:rPr>
          <w:b/>
          <w:bCs/>
          <w:i/>
          <w:iCs/>
          <w:sz w:val="24"/>
        </w:rPr>
        <w:t>dichi</w:t>
      </w:r>
      <w:r w:rsidR="004F45EF">
        <w:rPr>
          <w:b/>
          <w:bCs/>
          <w:i/>
          <w:iCs/>
          <w:sz w:val="24"/>
        </w:rPr>
        <w:t>arazioni pubbliche</w:t>
      </w:r>
      <w:r w:rsidR="00911CAE">
        <w:rPr>
          <w:b/>
          <w:bCs/>
          <w:i/>
          <w:iCs/>
          <w:sz w:val="24"/>
        </w:rPr>
        <w:t xml:space="preserve">, è che si voglia </w:t>
      </w:r>
      <w:r w:rsidR="004F45EF">
        <w:rPr>
          <w:b/>
          <w:bCs/>
          <w:i/>
          <w:iCs/>
          <w:sz w:val="24"/>
        </w:rPr>
        <w:t>e</w:t>
      </w:r>
      <w:r w:rsidR="00911CAE">
        <w:rPr>
          <w:b/>
          <w:bCs/>
          <w:i/>
          <w:iCs/>
          <w:sz w:val="24"/>
        </w:rPr>
        <w:t>liminare</w:t>
      </w:r>
      <w:r w:rsidR="004F45EF">
        <w:rPr>
          <w:b/>
          <w:bCs/>
          <w:i/>
          <w:iCs/>
          <w:sz w:val="24"/>
        </w:rPr>
        <w:t>, “cassare di fatto”</w:t>
      </w:r>
      <w:r w:rsidR="00911CAE">
        <w:rPr>
          <w:b/>
          <w:bCs/>
          <w:i/>
          <w:iCs/>
          <w:sz w:val="24"/>
        </w:rPr>
        <w:t>,</w:t>
      </w:r>
      <w:r w:rsidR="004F45EF">
        <w:rPr>
          <w:b/>
          <w:bCs/>
          <w:i/>
          <w:iCs/>
          <w:sz w:val="24"/>
        </w:rPr>
        <w:t xml:space="preserve"> le previsioni del P.R.G. vigente che siano escluse dalla possibilità di partecipare all'avviso o ch</w:t>
      </w:r>
      <w:r w:rsidR="004F45EF">
        <w:rPr>
          <w:b/>
          <w:bCs/>
          <w:i/>
          <w:iCs/>
          <w:sz w:val="24"/>
        </w:rPr>
        <w:t>e non superino il vaglio della procedura stessa.</w:t>
      </w: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Anche così non fosse, alla stessa conclusione si potrebbe pervenire attraverso l'operazione di delimitazione del territorio urbanizzato che viene preannunciata in esito all'avviso stesso</w:t>
      </w:r>
      <w:r w:rsidR="00911CAE">
        <w:rPr>
          <w:b/>
          <w:bCs/>
          <w:i/>
          <w:iCs/>
          <w:sz w:val="24"/>
        </w:rPr>
        <w:t xml:space="preserve">. E </w:t>
      </w:r>
      <w:r>
        <w:rPr>
          <w:b/>
          <w:bCs/>
          <w:i/>
          <w:iCs/>
          <w:sz w:val="24"/>
        </w:rPr>
        <w:t xml:space="preserve">se </w:t>
      </w:r>
      <w:r w:rsidR="00911CAE">
        <w:rPr>
          <w:b/>
          <w:bCs/>
          <w:i/>
          <w:iCs/>
          <w:sz w:val="24"/>
        </w:rPr>
        <w:t xml:space="preserve">poi </w:t>
      </w:r>
      <w:r>
        <w:rPr>
          <w:b/>
          <w:bCs/>
          <w:i/>
          <w:iCs/>
          <w:sz w:val="24"/>
        </w:rPr>
        <w:t xml:space="preserve">così non </w:t>
      </w:r>
      <w:r w:rsidR="00911CAE">
        <w:rPr>
          <w:b/>
          <w:bCs/>
          <w:i/>
          <w:iCs/>
          <w:sz w:val="24"/>
        </w:rPr>
        <w:t>fosse,</w:t>
      </w:r>
      <w:r>
        <w:rPr>
          <w:b/>
          <w:bCs/>
          <w:i/>
          <w:iCs/>
          <w:sz w:val="24"/>
        </w:rPr>
        <w:t xml:space="preserve"> n</w:t>
      </w:r>
      <w:r>
        <w:rPr>
          <w:b/>
          <w:bCs/>
          <w:i/>
          <w:iCs/>
          <w:sz w:val="24"/>
        </w:rPr>
        <w:t>on si comprende l'esclusione di alcune previsioni dalla procedura “agevolata” dell</w:t>
      </w:r>
      <w:r>
        <w:rPr>
          <w:b/>
          <w:bCs/>
          <w:i/>
          <w:iCs/>
          <w:sz w:val="24"/>
        </w:rPr>
        <w:t>'Accordo Operativo.</w:t>
      </w: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Questa ipotesi non si può dedurre in alcun modo dal testo della legge 24/17 e comunque in generale richiederebbe la formazione di un preciso atto di val</w:t>
      </w:r>
      <w:r>
        <w:rPr>
          <w:b/>
          <w:bCs/>
          <w:i/>
          <w:iCs/>
          <w:sz w:val="24"/>
        </w:rPr>
        <w:t>ore “urbanistico” come un nuovo Piano o una variante di quello vigente.</w:t>
      </w:r>
    </w:p>
    <w:p w:rsidR="00C43D7B" w:rsidRDefault="00C43D7B">
      <w:pPr>
        <w:pStyle w:val="Standard"/>
        <w:jc w:val="both"/>
        <w:rPr>
          <w:b/>
          <w:bCs/>
          <w:i/>
          <w:iCs/>
          <w:sz w:val="24"/>
        </w:rPr>
      </w:pPr>
    </w:p>
    <w:p w:rsidR="00C43D7B" w:rsidRDefault="004F45EF">
      <w:pPr>
        <w:pStyle w:val="Standard"/>
        <w:jc w:val="both"/>
        <w:rPr>
          <w:b/>
          <w:bCs/>
          <w:i/>
          <w:iCs/>
          <w:sz w:val="24"/>
        </w:rPr>
      </w:pPr>
      <w:r>
        <w:rPr>
          <w:b/>
          <w:bCs/>
          <w:i/>
          <w:iCs/>
          <w:sz w:val="24"/>
        </w:rPr>
        <w:t xml:space="preserve">La questione non è secondaria </w:t>
      </w:r>
      <w:proofErr w:type="spellStart"/>
      <w:r>
        <w:rPr>
          <w:b/>
          <w:bCs/>
          <w:i/>
          <w:iCs/>
          <w:sz w:val="24"/>
        </w:rPr>
        <w:t>perchè</w:t>
      </w:r>
      <w:proofErr w:type="spellEnd"/>
      <w:r>
        <w:rPr>
          <w:b/>
          <w:bCs/>
          <w:i/>
          <w:iCs/>
          <w:sz w:val="24"/>
        </w:rPr>
        <w:t xml:space="preserve"> una cattiva lettura delle intenzioni dell'Amministrazione (</w:t>
      </w:r>
      <w:r>
        <w:rPr>
          <w:b/>
          <w:bCs/>
          <w:i/>
          <w:iCs/>
          <w:sz w:val="24"/>
        </w:rPr>
        <w:t>come forse è quella citata</w:t>
      </w:r>
      <w:r>
        <w:rPr>
          <w:b/>
          <w:bCs/>
          <w:i/>
          <w:iCs/>
          <w:sz w:val="24"/>
        </w:rPr>
        <w:t>) potrebbe avere effetti non desiderati sui comportamenti d</w:t>
      </w:r>
      <w:r>
        <w:rPr>
          <w:b/>
          <w:bCs/>
          <w:i/>
          <w:iCs/>
          <w:sz w:val="24"/>
        </w:rPr>
        <w:t>ei proprietari delle aree , accelerando inutilmente, in via precauzionale, operazioni immobiliari dormienti .</w:t>
      </w:r>
    </w:p>
    <w:p w:rsidR="00C43D7B" w:rsidRDefault="00C43D7B">
      <w:pPr>
        <w:pStyle w:val="Standard"/>
        <w:jc w:val="both"/>
        <w:rPr>
          <w:b/>
          <w:bCs/>
          <w:i/>
          <w:iCs/>
          <w:sz w:val="24"/>
        </w:rPr>
      </w:pPr>
    </w:p>
    <w:p w:rsidR="00C43D7B" w:rsidRDefault="00C43D7B">
      <w:pPr>
        <w:pStyle w:val="Standard"/>
        <w:jc w:val="both"/>
        <w:rPr>
          <w:b/>
          <w:bCs/>
          <w:i/>
          <w:iCs/>
          <w:sz w:val="24"/>
        </w:rPr>
      </w:pPr>
    </w:p>
    <w:p w:rsidR="00C43D7B" w:rsidRDefault="00C43D7B">
      <w:pPr>
        <w:pStyle w:val="Standard"/>
        <w:jc w:val="both"/>
        <w:rPr>
          <w:b/>
          <w:bCs/>
          <w:i/>
          <w:iCs/>
          <w:sz w:val="24"/>
        </w:rPr>
      </w:pPr>
      <w:bookmarkStart w:id="0" w:name="_GoBack"/>
      <w:bookmarkEnd w:id="0"/>
    </w:p>
    <w:p w:rsidR="00C43D7B" w:rsidRDefault="00C43D7B">
      <w:pPr>
        <w:pStyle w:val="Standard"/>
        <w:jc w:val="both"/>
        <w:rPr>
          <w:b/>
          <w:bCs/>
          <w:i/>
          <w:iCs/>
          <w:sz w:val="24"/>
        </w:rPr>
      </w:pPr>
    </w:p>
    <w:p w:rsidR="00C43D7B" w:rsidRDefault="00C43D7B">
      <w:pPr>
        <w:pStyle w:val="Standard"/>
        <w:jc w:val="both"/>
        <w:rPr>
          <w:b/>
          <w:bCs/>
          <w:i/>
          <w:iCs/>
          <w:sz w:val="24"/>
        </w:rPr>
      </w:pPr>
    </w:p>
    <w:sectPr w:rsidR="00C43D7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EF" w:rsidRDefault="004F45EF">
      <w:r>
        <w:separator/>
      </w:r>
    </w:p>
  </w:endnote>
  <w:endnote w:type="continuationSeparator" w:id="0">
    <w:p w:rsidR="004F45EF" w:rsidRDefault="004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EF" w:rsidRDefault="004F45EF">
      <w:r>
        <w:rPr>
          <w:color w:val="000000"/>
        </w:rPr>
        <w:separator/>
      </w:r>
    </w:p>
  </w:footnote>
  <w:footnote w:type="continuationSeparator" w:id="0">
    <w:p w:rsidR="004F45EF" w:rsidRDefault="004F4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43D7B"/>
    <w:rsid w:val="004A246A"/>
    <w:rsid w:val="004F45EF"/>
    <w:rsid w:val="00911CAE"/>
    <w:rsid w:val="00A55391"/>
    <w:rsid w:val="00C43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Mangal"/>
        <w:kern w:val="3"/>
        <w:sz w:val="26"/>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Mangal"/>
        <w:kern w:val="3"/>
        <w:sz w:val="26"/>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2</cp:revision>
  <dcterms:created xsi:type="dcterms:W3CDTF">2018-06-27T12:04:00Z</dcterms:created>
  <dcterms:modified xsi:type="dcterms:W3CDTF">2018-06-27T12:04:00Z</dcterms:modified>
</cp:coreProperties>
</file>